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5EE" w:rsidRPr="00086D6D" w:rsidRDefault="00DD65EE" w:rsidP="00DD65EE">
      <w:pPr>
        <w:spacing w:after="0" w:line="240" w:lineRule="auto"/>
        <w:jc w:val="center"/>
        <w:rPr>
          <w:rFonts w:ascii="Times New Roman" w:eastAsia="Times New Roman" w:hAnsi="Times New Roman" w:cs="Times New Roman"/>
          <w:b/>
          <w:sz w:val="20"/>
          <w:szCs w:val="20"/>
          <w:u w:val="single"/>
        </w:rPr>
      </w:pPr>
      <w:r w:rsidRPr="00086D6D">
        <w:rPr>
          <w:rFonts w:ascii="Times New Roman" w:eastAsia="Times New Roman" w:hAnsi="Times New Roman" w:cs="Times New Roman"/>
          <w:b/>
          <w:sz w:val="24"/>
          <w:u w:val="single"/>
        </w:rPr>
        <w:t>EXHIBIT C</w:t>
      </w:r>
    </w:p>
    <w:p w:rsidR="00DD65EE" w:rsidRPr="00086D6D" w:rsidRDefault="00DD65EE" w:rsidP="00DD65EE">
      <w:pPr>
        <w:spacing w:after="0" w:line="240" w:lineRule="auto"/>
        <w:jc w:val="center"/>
        <w:rPr>
          <w:rFonts w:ascii="Times New Roman" w:eastAsia="Times New Roman" w:hAnsi="Times New Roman" w:cs="Times New Roman"/>
          <w:b/>
          <w:sz w:val="24"/>
          <w:u w:val="single"/>
        </w:rPr>
      </w:pPr>
      <w:r w:rsidRPr="00086D6D">
        <w:rPr>
          <w:rFonts w:ascii="Times New Roman" w:eastAsia="Times New Roman" w:hAnsi="Times New Roman" w:cs="Times New Roman"/>
          <w:sz w:val="24"/>
          <w:szCs w:val="24"/>
        </w:rPr>
        <w:t>(Affiliate Broker Letter)</w:t>
      </w:r>
    </w:p>
    <w:p w:rsidR="00DD65EE" w:rsidRPr="00086D6D" w:rsidRDefault="00DD65EE" w:rsidP="00DD65EE">
      <w:pPr>
        <w:spacing w:before="225" w:after="0" w:line="231" w:lineRule="exact"/>
        <w:textAlignment w:val="baseline"/>
        <w:rPr>
          <w:rFonts w:ascii="Times New Roman" w:eastAsia="Times New Roman" w:hAnsi="Times New Roman" w:cs="Times New Roman"/>
          <w:color w:val="000000"/>
          <w:sz w:val="20"/>
        </w:rPr>
      </w:pPr>
    </w:p>
    <w:p w:rsidR="00DD65EE" w:rsidRPr="00086D6D" w:rsidRDefault="00DD65EE" w:rsidP="00DD65EE">
      <w:pPr>
        <w:spacing w:after="0" w:line="240" w:lineRule="auto"/>
        <w:rPr>
          <w:rFonts w:ascii="Times New Roman" w:eastAsia="Times New Roman" w:hAnsi="Times New Roman" w:cs="Times New Roman"/>
          <w:b/>
          <w:sz w:val="20"/>
          <w:szCs w:val="20"/>
        </w:rPr>
      </w:pPr>
      <w:r w:rsidRPr="00086D6D">
        <w:rPr>
          <w:rFonts w:ascii="Times New Roman" w:eastAsia="Times New Roman" w:hAnsi="Times New Roman" w:cs="Times New Roman"/>
          <w:b/>
          <w:sz w:val="20"/>
          <w:szCs w:val="20"/>
        </w:rPr>
        <w:t>[●], [2023]</w:t>
      </w:r>
    </w:p>
    <w:p w:rsidR="00DD65EE" w:rsidRPr="00086D6D" w:rsidRDefault="00DD65EE" w:rsidP="00DD65EE">
      <w:pPr>
        <w:spacing w:after="0" w:line="240" w:lineRule="auto"/>
        <w:rPr>
          <w:rFonts w:ascii="Times New Roman" w:eastAsia="Times New Roman" w:hAnsi="Times New Roman" w:cs="Times New Roman"/>
          <w:color w:val="000000"/>
          <w:sz w:val="20"/>
        </w:rPr>
      </w:pPr>
    </w:p>
    <w:p w:rsidR="00DD65EE" w:rsidRPr="00086D6D" w:rsidRDefault="00DD65EE" w:rsidP="00DD65EE">
      <w:pPr>
        <w:spacing w:after="0" w:line="240" w:lineRule="auto"/>
        <w:rPr>
          <w:rFonts w:ascii="Times New Roman" w:eastAsia="Times New Roman" w:hAnsi="Times New Roman" w:cs="Times New Roman"/>
          <w:sz w:val="20"/>
          <w:szCs w:val="20"/>
        </w:rPr>
      </w:pPr>
      <w:proofErr w:type="spellStart"/>
      <w:r w:rsidRPr="00086D6D">
        <w:rPr>
          <w:rFonts w:ascii="Times New Roman" w:eastAsia="Times New Roman" w:hAnsi="Times New Roman" w:cs="Times New Roman"/>
          <w:sz w:val="20"/>
          <w:szCs w:val="20"/>
        </w:rPr>
        <w:t>Limbach</w:t>
      </w:r>
      <w:proofErr w:type="spellEnd"/>
      <w:r w:rsidRPr="00086D6D">
        <w:rPr>
          <w:rFonts w:ascii="Times New Roman" w:eastAsia="Times New Roman" w:hAnsi="Times New Roman" w:cs="Times New Roman"/>
          <w:sz w:val="20"/>
          <w:szCs w:val="20"/>
        </w:rPr>
        <w:t xml:space="preserve"> Holdings, Inc.</w:t>
      </w:r>
    </w:p>
    <w:p w:rsidR="00DD65EE" w:rsidRPr="00086D6D" w:rsidRDefault="00DD65EE" w:rsidP="00DD65EE">
      <w:pPr>
        <w:spacing w:after="0" w:line="240" w:lineRule="auto"/>
        <w:rPr>
          <w:rFonts w:ascii="Times New Roman" w:eastAsia="Times New Roman" w:hAnsi="Times New Roman" w:cs="Times New Roman"/>
          <w:sz w:val="20"/>
          <w:szCs w:val="20"/>
        </w:rPr>
      </w:pPr>
      <w:r w:rsidRPr="00086D6D">
        <w:rPr>
          <w:rFonts w:ascii="Times New Roman" w:eastAsia="Times New Roman" w:hAnsi="Times New Roman" w:cs="Times New Roman"/>
          <w:sz w:val="20"/>
          <w:szCs w:val="20"/>
        </w:rPr>
        <w:t xml:space="preserve">Attn: Dan Murtha, CPA </w:t>
      </w:r>
    </w:p>
    <w:p w:rsidR="00DD65EE" w:rsidRPr="00086D6D" w:rsidRDefault="00DD65EE" w:rsidP="00DD65EE">
      <w:pPr>
        <w:spacing w:after="0" w:line="240" w:lineRule="auto"/>
        <w:rPr>
          <w:rFonts w:ascii="Times New Roman" w:eastAsia="Times New Roman" w:hAnsi="Times New Roman" w:cs="Times New Roman"/>
          <w:sz w:val="20"/>
          <w:szCs w:val="20"/>
        </w:rPr>
      </w:pPr>
      <w:r w:rsidRPr="00086D6D">
        <w:rPr>
          <w:rFonts w:ascii="Times New Roman" w:eastAsia="Times New Roman" w:hAnsi="Times New Roman" w:cs="Times New Roman"/>
          <w:sz w:val="20"/>
          <w:szCs w:val="20"/>
        </w:rPr>
        <w:t xml:space="preserve">VP Finance &amp; Accounting </w:t>
      </w:r>
    </w:p>
    <w:p w:rsidR="00DD65EE" w:rsidRPr="00086D6D" w:rsidRDefault="00DD65EE" w:rsidP="00DD65EE">
      <w:pPr>
        <w:spacing w:after="0" w:line="240" w:lineRule="auto"/>
        <w:rPr>
          <w:rFonts w:ascii="Times New Roman" w:eastAsia="Times New Roman" w:hAnsi="Times New Roman" w:cs="Times New Roman"/>
          <w:sz w:val="20"/>
          <w:szCs w:val="20"/>
        </w:rPr>
      </w:pPr>
      <w:r w:rsidRPr="00086D6D">
        <w:rPr>
          <w:rFonts w:ascii="Times New Roman" w:eastAsia="Times New Roman" w:hAnsi="Times New Roman" w:cs="Times New Roman"/>
          <w:sz w:val="20"/>
          <w:szCs w:val="20"/>
        </w:rPr>
        <w:t xml:space="preserve">797 Commonwealth Drive </w:t>
      </w:r>
      <w:r w:rsidRPr="00086D6D">
        <w:rPr>
          <w:rFonts w:ascii="Times New Roman" w:eastAsia="Times New Roman" w:hAnsi="Times New Roman" w:cs="Times New Roman"/>
          <w:sz w:val="20"/>
          <w:szCs w:val="20"/>
        </w:rPr>
        <w:br/>
      </w:r>
      <w:proofErr w:type="spellStart"/>
      <w:r w:rsidRPr="00086D6D">
        <w:rPr>
          <w:rFonts w:ascii="Times New Roman" w:eastAsia="Times New Roman" w:hAnsi="Times New Roman" w:cs="Times New Roman"/>
          <w:sz w:val="20"/>
          <w:szCs w:val="20"/>
        </w:rPr>
        <w:t>Warrendale</w:t>
      </w:r>
      <w:proofErr w:type="spellEnd"/>
      <w:r w:rsidRPr="00086D6D">
        <w:rPr>
          <w:rFonts w:ascii="Times New Roman" w:eastAsia="Times New Roman" w:hAnsi="Times New Roman" w:cs="Times New Roman"/>
          <w:sz w:val="20"/>
          <w:szCs w:val="20"/>
        </w:rPr>
        <w:t xml:space="preserve">, PA 15086 </w:t>
      </w:r>
    </w:p>
    <w:p w:rsidR="00DD65EE" w:rsidRPr="00086D6D" w:rsidRDefault="00DD65EE" w:rsidP="00DD65EE">
      <w:pPr>
        <w:autoSpaceDE w:val="0"/>
        <w:autoSpaceDN w:val="0"/>
        <w:adjustRightInd w:val="0"/>
        <w:spacing w:after="0" w:line="240" w:lineRule="auto"/>
        <w:rPr>
          <w:rFonts w:ascii="Times New Roman" w:eastAsia="Times New Roman" w:hAnsi="Times New Roman" w:cs="Times New Roman"/>
          <w:sz w:val="20"/>
          <w:szCs w:val="20"/>
        </w:rPr>
      </w:pPr>
    </w:p>
    <w:p w:rsidR="00DD65EE" w:rsidRPr="00086D6D" w:rsidRDefault="00DD65EE" w:rsidP="00DD65EE">
      <w:pPr>
        <w:autoSpaceDE w:val="0"/>
        <w:autoSpaceDN w:val="0"/>
        <w:adjustRightInd w:val="0"/>
        <w:spacing w:after="0" w:line="240" w:lineRule="auto"/>
        <w:rPr>
          <w:rFonts w:ascii="Times New Roman" w:eastAsia="Calibri" w:hAnsi="Times New Roman" w:cs="Times New Roman"/>
          <w:sz w:val="20"/>
          <w:szCs w:val="20"/>
        </w:rPr>
      </w:pPr>
      <w:r w:rsidRPr="00086D6D">
        <w:rPr>
          <w:rFonts w:ascii="Times New Roman" w:eastAsia="Times New Roman" w:hAnsi="Times New Roman" w:cs="Times New Roman"/>
          <w:color w:val="000000"/>
          <w:sz w:val="20"/>
        </w:rPr>
        <w:t>Ladies and Gentlemen:</w:t>
      </w:r>
    </w:p>
    <w:p w:rsidR="00DD65EE" w:rsidRPr="00086D6D" w:rsidRDefault="00DD65EE" w:rsidP="00DD65EE">
      <w:pPr>
        <w:spacing w:before="238" w:after="0" w:line="230" w:lineRule="exact"/>
        <w:ind w:right="144" w:firstLine="360"/>
        <w:textAlignment w:val="baseline"/>
        <w:rPr>
          <w:rFonts w:ascii="Times New Roman" w:eastAsia="Times New Roman" w:hAnsi="Times New Roman" w:cs="Times New Roman"/>
          <w:color w:val="000000"/>
          <w:spacing w:val="1"/>
          <w:sz w:val="20"/>
        </w:rPr>
      </w:pPr>
      <w:r w:rsidRPr="00086D6D">
        <w:rPr>
          <w:rFonts w:ascii="Times New Roman" w:eastAsia="Times New Roman" w:hAnsi="Times New Roman" w:cs="Times New Roman"/>
          <w:color w:val="000000"/>
          <w:spacing w:val="1"/>
          <w:sz w:val="20"/>
        </w:rPr>
        <w:t xml:space="preserve">We are writing in connection with the </w:t>
      </w:r>
      <w:r>
        <w:rPr>
          <w:rFonts w:ascii="Times New Roman" w:eastAsia="Times New Roman" w:hAnsi="Times New Roman" w:cs="Times New Roman"/>
          <w:color w:val="000000"/>
          <w:spacing w:val="1"/>
          <w:sz w:val="20"/>
        </w:rPr>
        <w:t>[</w:t>
      </w:r>
      <w:r w:rsidRPr="00086D6D">
        <w:rPr>
          <w:rFonts w:ascii="Times New Roman" w:eastAsia="Times New Roman" w:hAnsi="Times New Roman" w:cs="Times New Roman"/>
          <w:color w:val="000000"/>
          <w:spacing w:val="1"/>
          <w:sz w:val="20"/>
        </w:rPr>
        <w:t>●</w:t>
      </w:r>
      <w:r>
        <w:rPr>
          <w:rFonts w:ascii="Times New Roman" w:eastAsia="Times New Roman" w:hAnsi="Times New Roman" w:cs="Times New Roman"/>
          <w:color w:val="000000"/>
          <w:spacing w:val="1"/>
          <w:sz w:val="20"/>
        </w:rPr>
        <w:t>]</w:t>
      </w:r>
      <w:r w:rsidRPr="00086D6D">
        <w:rPr>
          <w:rFonts w:ascii="Times New Roman" w:eastAsia="Times New Roman" w:hAnsi="Times New Roman" w:cs="Times New Roman"/>
          <w:color w:val="000000"/>
          <w:spacing w:val="1"/>
          <w:sz w:val="20"/>
        </w:rPr>
        <w:t xml:space="preserve"> shares (the “</w:t>
      </w:r>
      <w:r w:rsidRPr="00086D6D">
        <w:rPr>
          <w:rFonts w:ascii="Times New Roman" w:eastAsia="Times New Roman" w:hAnsi="Times New Roman" w:cs="Times New Roman"/>
          <w:color w:val="000000"/>
          <w:spacing w:val="1"/>
          <w:sz w:val="20"/>
          <w:u w:val="single"/>
        </w:rPr>
        <w:t>Warrant Shares</w:t>
      </w:r>
      <w:r w:rsidRPr="00086D6D">
        <w:rPr>
          <w:rFonts w:ascii="Times New Roman" w:eastAsia="Times New Roman" w:hAnsi="Times New Roman" w:cs="Times New Roman"/>
          <w:color w:val="000000"/>
          <w:spacing w:val="1"/>
          <w:sz w:val="20"/>
        </w:rPr>
        <w:t xml:space="preserve">”) of </w:t>
      </w:r>
      <w:r w:rsidRPr="00086D6D">
        <w:rPr>
          <w:rFonts w:ascii="Times New Roman" w:eastAsia="Times New Roman" w:hAnsi="Times New Roman" w:cs="Times New Roman"/>
          <w:sz w:val="20"/>
          <w:szCs w:val="20"/>
        </w:rPr>
        <w:t xml:space="preserve">common stock, par value $0.0001 </w:t>
      </w:r>
      <w:r w:rsidRPr="00086D6D">
        <w:rPr>
          <w:rFonts w:ascii="Times New Roman" w:eastAsia="Calibri" w:hAnsi="Times New Roman" w:cs="Times New Roman"/>
          <w:sz w:val="20"/>
          <w:szCs w:val="20"/>
        </w:rPr>
        <w:t>(the “</w:t>
      </w:r>
      <w:r w:rsidRPr="00086D6D">
        <w:rPr>
          <w:rFonts w:ascii="Times New Roman" w:eastAsia="Calibri" w:hAnsi="Times New Roman" w:cs="Times New Roman"/>
          <w:sz w:val="20"/>
          <w:szCs w:val="20"/>
          <w:u w:val="single"/>
        </w:rPr>
        <w:t>Securities</w:t>
      </w:r>
      <w:r w:rsidRPr="00086D6D">
        <w:rPr>
          <w:rFonts w:ascii="Times New Roman" w:eastAsia="Calibri" w:hAnsi="Times New Roman" w:cs="Times New Roman"/>
          <w:sz w:val="20"/>
          <w:szCs w:val="20"/>
        </w:rPr>
        <w:t xml:space="preserve">”) </w:t>
      </w:r>
      <w:r w:rsidRPr="00086D6D">
        <w:rPr>
          <w:rFonts w:ascii="Times New Roman" w:eastAsia="Times New Roman" w:hAnsi="Times New Roman" w:cs="Times New Roman"/>
          <w:color w:val="000000"/>
          <w:spacing w:val="1"/>
          <w:sz w:val="20"/>
        </w:rPr>
        <w:t xml:space="preserve"> of </w:t>
      </w:r>
      <w:proofErr w:type="spellStart"/>
      <w:r w:rsidRPr="00086D6D">
        <w:rPr>
          <w:rFonts w:ascii="Times New Roman" w:eastAsia="Times New Roman" w:hAnsi="Times New Roman" w:cs="Times New Roman"/>
          <w:color w:val="000000"/>
          <w:spacing w:val="1"/>
          <w:sz w:val="20"/>
        </w:rPr>
        <w:t>Limbach</w:t>
      </w:r>
      <w:proofErr w:type="spellEnd"/>
      <w:r w:rsidRPr="00086D6D">
        <w:rPr>
          <w:rFonts w:ascii="Times New Roman" w:eastAsia="Times New Roman" w:hAnsi="Times New Roman" w:cs="Times New Roman"/>
          <w:color w:val="000000"/>
          <w:spacing w:val="1"/>
          <w:sz w:val="20"/>
        </w:rPr>
        <w:t xml:space="preserve"> Holdings, Inc., a Delaware corporation (the “</w:t>
      </w:r>
      <w:r w:rsidRPr="00086D6D">
        <w:rPr>
          <w:rFonts w:ascii="Times New Roman" w:eastAsia="Times New Roman" w:hAnsi="Times New Roman" w:cs="Times New Roman"/>
          <w:color w:val="000000"/>
          <w:spacing w:val="1"/>
          <w:sz w:val="20"/>
          <w:u w:val="single"/>
        </w:rPr>
        <w:t>Company</w:t>
      </w:r>
      <w:r w:rsidRPr="00086D6D">
        <w:rPr>
          <w:rFonts w:ascii="Times New Roman" w:eastAsia="Times New Roman" w:hAnsi="Times New Roman" w:cs="Times New Roman"/>
          <w:color w:val="000000"/>
          <w:spacing w:val="1"/>
          <w:sz w:val="20"/>
        </w:rPr>
        <w:t xml:space="preserve">”) held in the account of </w:t>
      </w:r>
      <w:r>
        <w:rPr>
          <w:rFonts w:ascii="Times New Roman" w:eastAsia="Times New Roman" w:hAnsi="Times New Roman" w:cs="Times New Roman"/>
          <w:color w:val="000000"/>
          <w:spacing w:val="1"/>
          <w:sz w:val="20"/>
        </w:rPr>
        <w:t>[</w:t>
      </w:r>
      <w:r w:rsidRPr="00086D6D">
        <w:rPr>
          <w:rFonts w:ascii="Times New Roman" w:eastAsia="Times New Roman" w:hAnsi="Times New Roman" w:cs="Times New Roman"/>
          <w:color w:val="000000"/>
          <w:spacing w:val="1"/>
          <w:sz w:val="20"/>
        </w:rPr>
        <w:t>●</w:t>
      </w:r>
      <w:r>
        <w:rPr>
          <w:rFonts w:ascii="Times New Roman" w:eastAsia="Times New Roman" w:hAnsi="Times New Roman" w:cs="Times New Roman"/>
          <w:color w:val="000000"/>
          <w:spacing w:val="1"/>
          <w:sz w:val="20"/>
        </w:rPr>
        <w:t>]</w:t>
      </w:r>
      <w:r w:rsidRPr="00086D6D">
        <w:rPr>
          <w:rFonts w:ascii="Times New Roman" w:eastAsia="Times New Roman" w:hAnsi="Times New Roman" w:cs="Times New Roman"/>
          <w:color w:val="000000"/>
          <w:spacing w:val="1"/>
          <w:sz w:val="20"/>
        </w:rPr>
        <w:t xml:space="preserve"> (the “</w:t>
      </w:r>
      <w:r w:rsidRPr="00086D6D">
        <w:rPr>
          <w:rFonts w:ascii="Times New Roman" w:eastAsia="Times New Roman" w:hAnsi="Times New Roman" w:cs="Times New Roman"/>
          <w:color w:val="000000"/>
          <w:spacing w:val="1"/>
          <w:sz w:val="20"/>
          <w:u w:val="single"/>
        </w:rPr>
        <w:t>Warrant Holder</w:t>
      </w:r>
      <w:r w:rsidRPr="00086D6D">
        <w:rPr>
          <w:rFonts w:ascii="Times New Roman" w:eastAsia="Times New Roman" w:hAnsi="Times New Roman" w:cs="Times New Roman"/>
          <w:color w:val="000000"/>
          <w:spacing w:val="1"/>
          <w:sz w:val="20"/>
        </w:rPr>
        <w:t>”) pursuant to Rule 144 of the Securities Act of 1933(the “</w:t>
      </w:r>
      <w:r w:rsidRPr="00086D6D">
        <w:rPr>
          <w:rFonts w:ascii="Times New Roman" w:eastAsia="Times New Roman" w:hAnsi="Times New Roman" w:cs="Times New Roman"/>
          <w:color w:val="000000"/>
          <w:spacing w:val="1"/>
          <w:sz w:val="20"/>
          <w:u w:val="single"/>
        </w:rPr>
        <w:t>Securities Act</w:t>
      </w:r>
      <w:r w:rsidRPr="00086D6D">
        <w:rPr>
          <w:rFonts w:ascii="Times New Roman" w:eastAsia="Times New Roman" w:hAnsi="Times New Roman" w:cs="Times New Roman"/>
          <w:color w:val="000000"/>
          <w:spacing w:val="1"/>
          <w:sz w:val="20"/>
        </w:rPr>
        <w:t>”), as amended (“</w:t>
      </w:r>
      <w:r w:rsidRPr="00086D6D">
        <w:rPr>
          <w:rFonts w:ascii="Times New Roman" w:eastAsia="Times New Roman" w:hAnsi="Times New Roman" w:cs="Times New Roman"/>
          <w:color w:val="000000"/>
          <w:spacing w:val="1"/>
          <w:sz w:val="20"/>
          <w:u w:val="single"/>
        </w:rPr>
        <w:t>Rule  144</w:t>
      </w:r>
      <w:r w:rsidRPr="00086D6D">
        <w:rPr>
          <w:rFonts w:ascii="Times New Roman" w:eastAsia="Times New Roman" w:hAnsi="Times New Roman" w:cs="Times New Roman"/>
          <w:color w:val="000000"/>
          <w:spacing w:val="1"/>
          <w:sz w:val="20"/>
        </w:rPr>
        <w:t xml:space="preserve">”). We understand that such securities </w:t>
      </w:r>
      <w:proofErr w:type="gramStart"/>
      <w:r w:rsidRPr="00086D6D">
        <w:rPr>
          <w:rFonts w:ascii="Times New Roman" w:eastAsia="Times New Roman" w:hAnsi="Times New Roman" w:cs="Times New Roman"/>
          <w:color w:val="000000"/>
          <w:spacing w:val="1"/>
          <w:sz w:val="20"/>
        </w:rPr>
        <w:t>are currently registered</w:t>
      </w:r>
      <w:proofErr w:type="gramEnd"/>
      <w:r w:rsidRPr="00086D6D">
        <w:rPr>
          <w:rFonts w:ascii="Times New Roman" w:eastAsia="Times New Roman" w:hAnsi="Times New Roman" w:cs="Times New Roman"/>
          <w:color w:val="000000"/>
          <w:spacing w:val="1"/>
          <w:sz w:val="20"/>
        </w:rPr>
        <w:t xml:space="preserve"> in the name of the Warrant and are held in book-entry restricted shares at the transfer agent, subject to a stop transfer instruction at the transfer agent. In connection with our request that you authorize the transfer agent to transfer the Warrant Shares to be held in the Warrant Holder’s account at  </w:t>
      </w:r>
      <w:r w:rsidRPr="00086D6D">
        <w:rPr>
          <w:rFonts w:ascii="Times New Roman" w:eastAsia="Times New Roman" w:hAnsi="Times New Roman" w:cs="Times New Roman"/>
          <w:b/>
          <w:color w:val="000000"/>
          <w:spacing w:val="1"/>
          <w:sz w:val="20"/>
        </w:rPr>
        <w:t>[Brokerage firm]</w:t>
      </w:r>
      <w:r w:rsidRPr="00086D6D">
        <w:rPr>
          <w:rFonts w:ascii="Times New Roman" w:eastAsia="Times New Roman" w:hAnsi="Times New Roman" w:cs="Times New Roman"/>
          <w:color w:val="000000"/>
          <w:spacing w:val="1"/>
          <w:sz w:val="20"/>
        </w:rPr>
        <w:t xml:space="preserve"> (the “</w:t>
      </w:r>
      <w:r w:rsidRPr="00086D6D">
        <w:rPr>
          <w:rFonts w:ascii="Times New Roman" w:eastAsia="Times New Roman" w:hAnsi="Times New Roman" w:cs="Times New Roman"/>
          <w:color w:val="000000"/>
          <w:spacing w:val="1"/>
          <w:sz w:val="20"/>
          <w:u w:val="single"/>
        </w:rPr>
        <w:t>Brokerage Firm</w:t>
      </w:r>
      <w:r w:rsidRPr="00086D6D">
        <w:rPr>
          <w:rFonts w:ascii="Times New Roman" w:eastAsia="Times New Roman" w:hAnsi="Times New Roman" w:cs="Times New Roman"/>
          <w:color w:val="000000"/>
          <w:spacing w:val="1"/>
          <w:sz w:val="20"/>
        </w:rPr>
        <w:t>”) without restrictive legend, we affirm the following while we are acting as custodian:</w:t>
      </w:r>
    </w:p>
    <w:p w:rsidR="00DD65EE" w:rsidRPr="00AD1DC5" w:rsidRDefault="00DD65EE" w:rsidP="00DD65EE">
      <w:pPr>
        <w:numPr>
          <w:ilvl w:val="0"/>
          <w:numId w:val="1"/>
        </w:numPr>
        <w:tabs>
          <w:tab w:val="left" w:pos="720"/>
        </w:tabs>
        <w:spacing w:before="241" w:after="0" w:line="230" w:lineRule="exact"/>
        <w:ind w:right="864" w:firstLine="360"/>
        <w:textAlignment w:val="baseline"/>
        <w:rPr>
          <w:rFonts w:ascii="Times New Roman" w:eastAsia="Times New Roman" w:hAnsi="Times New Roman" w:cs="Times New Roman"/>
          <w:sz w:val="20"/>
          <w:u w:val="double"/>
        </w:rPr>
      </w:pPr>
      <w:bookmarkStart w:id="0" w:name="_BPDC_LN_INS_1007"/>
      <w:bookmarkStart w:id="1" w:name="_BPDC_PR_INS_1008"/>
      <w:bookmarkEnd w:id="0"/>
      <w:bookmarkEnd w:id="1"/>
      <w:r w:rsidRPr="00086D6D">
        <w:rPr>
          <w:rFonts w:ascii="Times New Roman" w:eastAsia="Times New Roman" w:hAnsi="Times New Roman" w:cs="Times New Roman"/>
          <w:color w:val="000000"/>
          <w:sz w:val="20"/>
        </w:rPr>
        <w:t xml:space="preserve">We acknowledge that the Warrant Shares </w:t>
      </w:r>
      <w:proofErr w:type="gramStart"/>
      <w:r w:rsidRPr="00086D6D">
        <w:rPr>
          <w:rFonts w:ascii="Times New Roman" w:eastAsia="Times New Roman" w:hAnsi="Times New Roman" w:cs="Times New Roman"/>
          <w:color w:val="000000"/>
          <w:sz w:val="20"/>
        </w:rPr>
        <w:t>may not be resold</w:t>
      </w:r>
      <w:proofErr w:type="gramEnd"/>
      <w:r w:rsidRPr="00086D6D">
        <w:rPr>
          <w:rFonts w:ascii="Times New Roman" w:eastAsia="Times New Roman" w:hAnsi="Times New Roman" w:cs="Times New Roman"/>
          <w:color w:val="000000"/>
          <w:sz w:val="20"/>
        </w:rPr>
        <w:t xml:space="preserve"> unless they are registered with the Securities and </w:t>
      </w:r>
      <w:r w:rsidRPr="00AD1DC5">
        <w:rPr>
          <w:rFonts w:ascii="Times New Roman" w:eastAsia="Times New Roman" w:hAnsi="Times New Roman" w:cs="Times New Roman"/>
          <w:sz w:val="20"/>
        </w:rPr>
        <w:t>Exchange Commission (“</w:t>
      </w:r>
      <w:r w:rsidRPr="00AD1DC5">
        <w:rPr>
          <w:rFonts w:ascii="Times New Roman" w:eastAsia="Times New Roman" w:hAnsi="Times New Roman" w:cs="Times New Roman"/>
          <w:sz w:val="20"/>
          <w:u w:val="single"/>
        </w:rPr>
        <w:t>SEC</w:t>
      </w:r>
      <w:r w:rsidRPr="00AD1DC5">
        <w:rPr>
          <w:rFonts w:ascii="Times New Roman" w:eastAsia="Times New Roman" w:hAnsi="Times New Roman" w:cs="Times New Roman"/>
          <w:sz w:val="20"/>
        </w:rPr>
        <w:t>”) or are exempt from the registration requirements.</w:t>
      </w:r>
    </w:p>
    <w:p w:rsidR="00DD65EE" w:rsidRPr="00AD1DC5" w:rsidRDefault="00DD65EE" w:rsidP="00DD65EE">
      <w:pPr>
        <w:numPr>
          <w:ilvl w:val="0"/>
          <w:numId w:val="1"/>
        </w:numPr>
        <w:tabs>
          <w:tab w:val="left" w:pos="720"/>
        </w:tabs>
        <w:spacing w:before="238" w:after="0" w:line="230" w:lineRule="exact"/>
        <w:ind w:right="144" w:firstLine="360"/>
        <w:textAlignment w:val="baseline"/>
        <w:rPr>
          <w:rFonts w:ascii="Times New Roman" w:eastAsia="Times New Roman" w:hAnsi="Times New Roman" w:cs="Times New Roman"/>
          <w:sz w:val="20"/>
          <w:u w:val="double"/>
        </w:rPr>
      </w:pPr>
      <w:bookmarkStart w:id="2" w:name="_BPDC_LN_INS_1005"/>
      <w:bookmarkStart w:id="3" w:name="_BPDC_PR_INS_1006"/>
      <w:bookmarkEnd w:id="2"/>
      <w:bookmarkEnd w:id="3"/>
      <w:r w:rsidRPr="00AD1DC5">
        <w:rPr>
          <w:rFonts w:ascii="Times New Roman" w:eastAsia="Times New Roman" w:hAnsi="Times New Roman" w:cs="Times New Roman"/>
          <w:sz w:val="20"/>
        </w:rPr>
        <w:t xml:space="preserve">While the Warrant Shares are restricted, they will be marked </w:t>
      </w:r>
      <w:r w:rsidRPr="00AD1DC5">
        <w:rPr>
          <w:rFonts w:ascii="Times New Roman" w:eastAsia="Times New Roman" w:hAnsi="Times New Roman" w:cs="Times New Roman"/>
          <w:b/>
          <w:sz w:val="20"/>
        </w:rPr>
        <w:t>[“Restricted”]</w:t>
      </w:r>
      <w:r w:rsidRPr="00AD1DC5">
        <w:rPr>
          <w:rFonts w:ascii="Times New Roman" w:eastAsia="Times New Roman" w:hAnsi="Times New Roman" w:cs="Times New Roman"/>
          <w:sz w:val="20"/>
        </w:rPr>
        <w:t xml:space="preserve"> in the Broker Firm’s systems, which precludes such Warrant Shares from being transferred unless the requisite approvals have been obtained, and held in a separate DTC account from the Brokerage Firm’s general clearance account at DTC. The Warrant Shares are not eligible for use as margin collateral (and, therefore, not capable of re-hypothecation) or sale absent special approvals and pre-clearances. Brokerage Firm reserves the right to alter these procedures at any time, provided, however, that any subsequent procedures it may adopt will remain in compliance with applicable law, including SEC Rule 15c3-3.</w:t>
      </w:r>
    </w:p>
    <w:p w:rsidR="00DD65EE" w:rsidRPr="00AD1DC5" w:rsidRDefault="00DD65EE" w:rsidP="00DD65EE">
      <w:pPr>
        <w:numPr>
          <w:ilvl w:val="0"/>
          <w:numId w:val="1"/>
        </w:numPr>
        <w:tabs>
          <w:tab w:val="left" w:pos="720"/>
        </w:tabs>
        <w:spacing w:before="241" w:after="0" w:line="230" w:lineRule="exact"/>
        <w:ind w:right="576" w:firstLine="360"/>
        <w:textAlignment w:val="baseline"/>
        <w:rPr>
          <w:rFonts w:ascii="Times New Roman" w:eastAsia="Times New Roman" w:hAnsi="Times New Roman" w:cs="Times New Roman"/>
          <w:sz w:val="20"/>
          <w:u w:val="double"/>
        </w:rPr>
      </w:pPr>
      <w:bookmarkStart w:id="4" w:name="_BPDC_LN_INS_1003"/>
      <w:bookmarkStart w:id="5" w:name="_BPDC_PR_INS_1004"/>
      <w:bookmarkEnd w:id="4"/>
      <w:bookmarkEnd w:id="5"/>
      <w:proofErr w:type="gramStart"/>
      <w:r w:rsidRPr="00AD1DC5">
        <w:rPr>
          <w:rFonts w:ascii="Times New Roman" w:eastAsia="Times New Roman" w:hAnsi="Times New Roman" w:cs="Times New Roman"/>
          <w:sz w:val="20"/>
        </w:rPr>
        <w:t>We will not permit the sale of the Warrant Shares unless we receive an executed copy of the Rule 144 Seller’s Representation Letter for Affiliates and the transmitted Form 144 which will be filed the SEC and the appropriate exchange if applicable; once a sale is completed we will sign our Rule 144 Broker’s Representation Letter (collectively, the “</w:t>
      </w:r>
      <w:r w:rsidRPr="00AD1DC5">
        <w:rPr>
          <w:rFonts w:ascii="Times New Roman" w:eastAsia="Times New Roman" w:hAnsi="Times New Roman" w:cs="Times New Roman"/>
          <w:sz w:val="20"/>
          <w:u w:val="single"/>
        </w:rPr>
        <w:t>Rule 144 Documents</w:t>
      </w:r>
      <w:r w:rsidRPr="00AD1DC5">
        <w:rPr>
          <w:rFonts w:ascii="Times New Roman" w:eastAsia="Times New Roman" w:hAnsi="Times New Roman" w:cs="Times New Roman"/>
          <w:sz w:val="20"/>
        </w:rPr>
        <w:t>”).</w:t>
      </w:r>
      <w:proofErr w:type="gramEnd"/>
    </w:p>
    <w:p w:rsidR="00DD65EE" w:rsidRPr="00086D6D" w:rsidRDefault="00DD65EE" w:rsidP="00DD65EE">
      <w:pPr>
        <w:numPr>
          <w:ilvl w:val="0"/>
          <w:numId w:val="1"/>
        </w:numPr>
        <w:tabs>
          <w:tab w:val="left" w:pos="720"/>
        </w:tabs>
        <w:spacing w:before="241" w:after="0" w:line="230" w:lineRule="exact"/>
        <w:ind w:right="288" w:firstLine="360"/>
        <w:textAlignment w:val="baseline"/>
        <w:rPr>
          <w:rFonts w:ascii="Times New Roman" w:eastAsia="Times New Roman" w:hAnsi="Times New Roman" w:cs="Times New Roman"/>
          <w:color w:val="0000FF"/>
          <w:sz w:val="20"/>
          <w:u w:val="double"/>
        </w:rPr>
      </w:pPr>
      <w:bookmarkStart w:id="6" w:name="_BPDC_LN_INS_1001"/>
      <w:bookmarkStart w:id="7" w:name="_BPDC_PR_INS_1002"/>
      <w:bookmarkEnd w:id="6"/>
      <w:bookmarkEnd w:id="7"/>
      <w:proofErr w:type="gramStart"/>
      <w:r w:rsidRPr="00086D6D">
        <w:rPr>
          <w:rFonts w:ascii="Times New Roman" w:eastAsia="Times New Roman" w:hAnsi="Times New Roman" w:cs="Times New Roman"/>
          <w:color w:val="000000"/>
          <w:sz w:val="20"/>
        </w:rPr>
        <w:t>Since the sale, distribution or transfer of the Warrant Shares are subject to the requirements of paragraph (</w:t>
      </w:r>
      <w:proofErr w:type="spellStart"/>
      <w:r w:rsidRPr="00086D6D">
        <w:rPr>
          <w:rFonts w:ascii="Times New Roman" w:eastAsia="Times New Roman" w:hAnsi="Times New Roman" w:cs="Times New Roman"/>
          <w:color w:val="000000"/>
          <w:sz w:val="20"/>
        </w:rPr>
        <w:t>i</w:t>
      </w:r>
      <w:proofErr w:type="spellEnd"/>
      <w:r w:rsidRPr="00086D6D">
        <w:rPr>
          <w:rFonts w:ascii="Times New Roman" w:eastAsia="Times New Roman" w:hAnsi="Times New Roman" w:cs="Times New Roman"/>
          <w:color w:val="000000"/>
          <w:sz w:val="20"/>
        </w:rPr>
        <w:t>) of Rule 144, as a pre-condition to any sale, distribution or transfer of the Warrant Shares being made subsequent to the date first written above, we will require prior to any such sale, distribution or transfer of such Warrant Shares, (a) that such Warrant Shares be registered for resale under the Securities Act (b) that such sale, distribution or transfer be pre-cleared with the Company to confirm that registration is not required under the Securities Act with respect to such sale, distribution or transfer and provide the Company with executed copies of the Rule 144 Documents reasonably acquired by the Company in connection with any such sale, distribution or transfer and (c) that the appropriate legal opinions required by the Company’s transfer agent be obtained.</w:t>
      </w:r>
      <w:proofErr w:type="gramEnd"/>
    </w:p>
    <w:p w:rsidR="00DD65EE" w:rsidRPr="00086D6D" w:rsidRDefault="00DD65EE" w:rsidP="00DD65EE">
      <w:pPr>
        <w:spacing w:before="237" w:after="226" w:line="230" w:lineRule="exact"/>
        <w:ind w:right="288" w:firstLine="360"/>
        <w:textAlignment w:val="baseline"/>
        <w:rPr>
          <w:rFonts w:ascii="Times New Roman" w:eastAsia="Times New Roman" w:hAnsi="Times New Roman" w:cs="Times New Roman"/>
          <w:color w:val="000000"/>
          <w:sz w:val="20"/>
        </w:rPr>
      </w:pPr>
      <w:r w:rsidRPr="00086D6D">
        <w:rPr>
          <w:rFonts w:ascii="Times New Roman" w:eastAsia="Times New Roman" w:hAnsi="Times New Roman" w:cs="Times New Roman"/>
          <w:color w:val="000000"/>
          <w:sz w:val="20"/>
        </w:rPr>
        <w:tab/>
      </w:r>
      <w:r w:rsidRPr="00086D6D">
        <w:rPr>
          <w:rFonts w:ascii="Times New Roman" w:eastAsia="Times New Roman" w:hAnsi="Times New Roman" w:cs="Times New Roman"/>
          <w:color w:val="000000"/>
          <w:sz w:val="20"/>
        </w:rPr>
        <w:tab/>
      </w:r>
      <w:r w:rsidRPr="00086D6D">
        <w:rPr>
          <w:rFonts w:ascii="Times New Roman" w:eastAsia="Times New Roman" w:hAnsi="Times New Roman" w:cs="Times New Roman"/>
          <w:color w:val="000000"/>
          <w:sz w:val="20"/>
        </w:rPr>
        <w:tab/>
      </w:r>
      <w:r w:rsidRPr="00086D6D">
        <w:rPr>
          <w:rFonts w:ascii="Times New Roman" w:eastAsia="Times New Roman" w:hAnsi="Times New Roman" w:cs="Times New Roman"/>
          <w:color w:val="000000"/>
          <w:sz w:val="20"/>
        </w:rPr>
        <w:tab/>
      </w:r>
      <w:r w:rsidRPr="00086D6D">
        <w:rPr>
          <w:rFonts w:ascii="Times New Roman" w:eastAsia="Times New Roman" w:hAnsi="Times New Roman" w:cs="Times New Roman"/>
          <w:color w:val="000000"/>
          <w:sz w:val="20"/>
        </w:rPr>
        <w:tab/>
      </w:r>
      <w:r w:rsidRPr="00086D6D">
        <w:rPr>
          <w:rFonts w:ascii="Times New Roman" w:eastAsia="Times New Roman" w:hAnsi="Times New Roman" w:cs="Times New Roman"/>
          <w:color w:val="000000"/>
          <w:sz w:val="20"/>
        </w:rPr>
        <w:tab/>
      </w:r>
      <w:r w:rsidRPr="00086D6D">
        <w:rPr>
          <w:rFonts w:ascii="Times New Roman" w:eastAsia="Times New Roman" w:hAnsi="Times New Roman" w:cs="Times New Roman"/>
          <w:color w:val="000000"/>
          <w:sz w:val="20"/>
        </w:rPr>
        <w:tab/>
      </w:r>
      <w:r w:rsidRPr="00086D6D">
        <w:rPr>
          <w:rFonts w:ascii="Times New Roman" w:eastAsia="Times New Roman" w:hAnsi="Times New Roman" w:cs="Times New Roman"/>
          <w:color w:val="000000"/>
          <w:sz w:val="20"/>
        </w:rPr>
        <w:tab/>
        <w:t xml:space="preserve">Sincerely, </w:t>
      </w:r>
    </w:p>
    <w:p w:rsidR="00DD65EE" w:rsidRPr="00086D6D" w:rsidRDefault="00DD65EE" w:rsidP="00DD65EE">
      <w:pPr>
        <w:spacing w:after="0" w:line="230" w:lineRule="exact"/>
        <w:ind w:left="5040" w:right="288"/>
        <w:jc w:val="center"/>
        <w:textAlignment w:val="baseline"/>
        <w:rPr>
          <w:rFonts w:ascii="Times New Roman" w:eastAsia="Times New Roman" w:hAnsi="Times New Roman" w:cs="Times New Roman"/>
          <w:color w:val="000000"/>
          <w:sz w:val="20"/>
          <w:u w:val="single"/>
        </w:rPr>
      </w:pPr>
      <w:r w:rsidRPr="00086D6D">
        <w:rPr>
          <w:rFonts w:ascii="Times New Roman" w:eastAsia="Times New Roman" w:hAnsi="Times New Roman" w:cs="Times New Roman"/>
          <w:color w:val="000000"/>
          <w:sz w:val="20"/>
        </w:rPr>
        <w:t xml:space="preserve">    By: </w:t>
      </w:r>
      <w:r w:rsidRPr="00086D6D">
        <w:rPr>
          <w:rFonts w:ascii="Times New Roman" w:eastAsia="Times New Roman" w:hAnsi="Times New Roman" w:cs="Times New Roman"/>
          <w:color w:val="000000"/>
          <w:sz w:val="20"/>
          <w:u w:val="single"/>
        </w:rPr>
        <w:t>                                                     </w:t>
      </w:r>
    </w:p>
    <w:p w:rsidR="00DD65EE" w:rsidRPr="00086D6D" w:rsidRDefault="00DD65EE" w:rsidP="00DD65EE">
      <w:pPr>
        <w:spacing w:after="0" w:line="230" w:lineRule="exact"/>
        <w:ind w:left="5040" w:right="288"/>
        <w:textAlignment w:val="baseline"/>
        <w:rPr>
          <w:rFonts w:ascii="Times New Roman" w:eastAsia="Times New Roman" w:hAnsi="Times New Roman" w:cs="Times New Roman"/>
          <w:color w:val="000000"/>
          <w:sz w:val="20"/>
        </w:rPr>
      </w:pPr>
      <w:r w:rsidRPr="00086D6D">
        <w:rPr>
          <w:rFonts w:ascii="Times New Roman" w:eastAsia="Times New Roman" w:hAnsi="Times New Roman" w:cs="Times New Roman"/>
          <w:color w:val="000000"/>
          <w:sz w:val="20"/>
        </w:rPr>
        <w:t xml:space="preserve">              </w:t>
      </w:r>
      <w:bookmarkStart w:id="8" w:name="_GoBack"/>
      <w:bookmarkEnd w:id="8"/>
      <w:r w:rsidRPr="00086D6D">
        <w:rPr>
          <w:rFonts w:ascii="Times New Roman" w:eastAsia="Times New Roman" w:hAnsi="Times New Roman" w:cs="Times New Roman"/>
          <w:color w:val="000000"/>
          <w:sz w:val="20"/>
        </w:rPr>
        <w:t xml:space="preserve">Name: </w:t>
      </w:r>
    </w:p>
    <w:p w:rsidR="00DD65EE" w:rsidRPr="00086D6D" w:rsidRDefault="00DD65EE" w:rsidP="00DD65EE">
      <w:pPr>
        <w:spacing w:after="0" w:line="230" w:lineRule="exact"/>
        <w:ind w:left="5040" w:right="288" w:firstLine="720"/>
        <w:textAlignment w:val="baseline"/>
        <w:rPr>
          <w:rFonts w:ascii="Times New Roman" w:eastAsia="Times New Roman" w:hAnsi="Times New Roman" w:cs="Times New Roman"/>
          <w:color w:val="000000"/>
          <w:sz w:val="20"/>
        </w:rPr>
      </w:pPr>
      <w:r w:rsidRPr="00086D6D">
        <w:rPr>
          <w:rFonts w:ascii="Times New Roman" w:eastAsia="Times New Roman" w:hAnsi="Times New Roman" w:cs="Times New Roman"/>
          <w:color w:val="000000"/>
          <w:sz w:val="20"/>
        </w:rPr>
        <w:t>Title:</w:t>
      </w:r>
    </w:p>
    <w:p w:rsidR="00097C41" w:rsidRPr="00DD65EE" w:rsidRDefault="00DD65EE" w:rsidP="00DD65EE">
      <w:pPr>
        <w:spacing w:after="0" w:line="230" w:lineRule="exact"/>
        <w:ind w:left="5040" w:right="288" w:firstLine="720"/>
        <w:textAlignment w:val="baseline"/>
        <w:rPr>
          <w:rFonts w:ascii="Times New Roman" w:eastAsia="Times New Roman" w:hAnsi="Times New Roman" w:cs="Times New Roman"/>
          <w:color w:val="000000"/>
          <w:sz w:val="20"/>
        </w:rPr>
      </w:pPr>
      <w:r w:rsidRPr="00086D6D">
        <w:rPr>
          <w:rFonts w:ascii="Times New Roman" w:eastAsia="Times New Roman" w:hAnsi="Times New Roman" w:cs="Times New Roman"/>
          <w:color w:val="000000"/>
          <w:sz w:val="20"/>
        </w:rPr>
        <w:t>Date:</w:t>
      </w:r>
    </w:p>
    <w:sectPr w:rsidR="00097C41" w:rsidRPr="00DD65EE" w:rsidSect="00B721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ED1" w:rsidRDefault="00432ED1" w:rsidP="00DD65EE">
      <w:pPr>
        <w:spacing w:after="0" w:line="240" w:lineRule="auto"/>
      </w:pPr>
      <w:r>
        <w:separator/>
      </w:r>
    </w:p>
  </w:endnote>
  <w:endnote w:type="continuationSeparator" w:id="0">
    <w:p w:rsidR="00432ED1" w:rsidRDefault="00432ED1" w:rsidP="00DD6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ED1" w:rsidRDefault="00432ED1" w:rsidP="00DD65EE">
      <w:pPr>
        <w:spacing w:after="0" w:line="240" w:lineRule="auto"/>
      </w:pPr>
      <w:r>
        <w:separator/>
      </w:r>
    </w:p>
  </w:footnote>
  <w:footnote w:type="continuationSeparator" w:id="0">
    <w:p w:rsidR="00432ED1" w:rsidRDefault="00432ED1" w:rsidP="00DD6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A0FC7"/>
    <w:multiLevelType w:val="multilevel"/>
    <w:tmpl w:val="646280AE"/>
    <w:lvl w:ilvl="0">
      <w:start w:val="1"/>
      <w:numFmt w:val="decimal"/>
      <w:lvlText w:val="%1."/>
      <w:lvlJc w:val="left"/>
      <w:pPr>
        <w:tabs>
          <w:tab w:val="left" w:pos="360"/>
        </w:tabs>
      </w:pPr>
      <w:rPr>
        <w:rFonts w:ascii="Times New Roman" w:eastAsia="Times New Roman" w:hAnsi="Times New Roman"/>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1"/>
        <w:numFmt w:val="decimal"/>
        <w:lvlText w:val="%1."/>
        <w:lvlJc w:val="left"/>
        <w:pPr>
          <w:tabs>
            <w:tab w:val="left" w:pos="360"/>
          </w:tabs>
        </w:pPr>
        <w:rPr>
          <w:rFonts w:ascii="Times New Roman" w:eastAsia="Times New Roman" w:hAnsi="Times New Roman"/>
          <w:color w:val="auto"/>
          <w:spacing w:val="0"/>
          <w:w w:val="100"/>
          <w:sz w:val="20"/>
          <w:u w:val="none"/>
          <w:vertAlign w:val="baseline"/>
          <w:lang w:val="en-US"/>
        </w:rPr>
      </w:lvl>
    </w:lvlOverride>
    <w:lvlOverride w:ilvl="1">
      <w:lvl w:ilvl="1">
        <w:numFmt w:val="decimal"/>
        <w:lvlText w:val=""/>
        <w:lvlJc w:val="left"/>
        <w:rPr>
          <w:color w:val="0000FF"/>
          <w:u w:val="double"/>
        </w:rPr>
      </w:lvl>
    </w:lvlOverride>
    <w:lvlOverride w:ilvl="2">
      <w:lvl w:ilvl="2">
        <w:numFmt w:val="decimal"/>
        <w:lvlText w:val=""/>
        <w:lvlJc w:val="left"/>
        <w:rPr>
          <w:color w:val="0000FF"/>
          <w:u w:val="double"/>
        </w:rPr>
      </w:lvl>
    </w:lvlOverride>
    <w:lvlOverride w:ilvl="3">
      <w:lvl w:ilvl="3">
        <w:numFmt w:val="decimal"/>
        <w:lvlText w:val=""/>
        <w:lvlJc w:val="left"/>
        <w:rPr>
          <w:color w:val="0000FF"/>
          <w:u w:val="double"/>
        </w:rPr>
      </w:lvl>
    </w:lvlOverride>
    <w:lvlOverride w:ilvl="4">
      <w:lvl w:ilvl="4">
        <w:numFmt w:val="decimal"/>
        <w:lvlText w:val=""/>
        <w:lvlJc w:val="left"/>
        <w:rPr>
          <w:color w:val="0000FF"/>
          <w:u w:val="double"/>
        </w:rPr>
      </w:lvl>
    </w:lvlOverride>
    <w:lvlOverride w:ilvl="5">
      <w:lvl w:ilvl="5">
        <w:numFmt w:val="decimal"/>
        <w:lvlText w:val=""/>
        <w:lvlJc w:val="left"/>
        <w:rPr>
          <w:color w:val="0000FF"/>
          <w:u w:val="double"/>
        </w:rPr>
      </w:lvl>
    </w:lvlOverride>
    <w:lvlOverride w:ilvl="6">
      <w:lvl w:ilvl="6">
        <w:numFmt w:val="decimal"/>
        <w:lvlText w:val=""/>
        <w:lvlJc w:val="left"/>
        <w:rPr>
          <w:color w:val="0000FF"/>
          <w:u w:val="double"/>
        </w:rPr>
      </w:lvl>
    </w:lvlOverride>
    <w:lvlOverride w:ilvl="7">
      <w:lvl w:ilvl="7">
        <w:numFmt w:val="decimal"/>
        <w:lvlText w:val=""/>
        <w:lvlJc w:val="left"/>
        <w:rPr>
          <w:color w:val="0000FF"/>
          <w:u w:val="double"/>
        </w:rPr>
      </w:lvl>
    </w:lvlOverride>
    <w:lvlOverride w:ilvl="8">
      <w:lvl w:ilvl="8">
        <w:numFmt w:val="decimal"/>
        <w:lvlText w:val=""/>
        <w:lvlJc w:val="left"/>
        <w:rPr>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EE"/>
    <w:rsid w:val="003F7615"/>
    <w:rsid w:val="00432ED1"/>
    <w:rsid w:val="00CA674A"/>
    <w:rsid w:val="00DD6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25A6C"/>
  <w15:chartTrackingRefBased/>
  <w15:docId w15:val="{4C98F104-0219-4B92-A2AC-70D01731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5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5EE"/>
  </w:style>
  <w:style w:type="character" w:customStyle="1" w:styleId="DocID">
    <w:name w:val="DocID"/>
    <w:basedOn w:val="DefaultParagraphFont"/>
    <w:rsid w:val="00DD65EE"/>
    <w:rPr>
      <w:rFonts w:ascii="Times New Roman" w:eastAsia="Times New Roman" w:hAnsi="Times New Roman" w:cs="Times New Roman"/>
      <w:b w:val="0"/>
      <w:i w:val="0"/>
      <w:caps w:val="0"/>
      <w:vanish w:val="0"/>
      <w:color w:val="000000"/>
      <w:sz w:val="16"/>
      <w:szCs w:val="24"/>
      <w:u w:val="none"/>
    </w:rPr>
  </w:style>
  <w:style w:type="paragraph" w:styleId="Footer">
    <w:name w:val="footer"/>
    <w:basedOn w:val="Normal"/>
    <w:link w:val="FooterChar"/>
    <w:uiPriority w:val="99"/>
    <w:unhideWhenUsed/>
    <w:rsid w:val="00DD65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Limbach Facility Services, LLC</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Murtha</dc:creator>
  <cp:keywords/>
  <dc:description/>
  <cp:lastModifiedBy>Dan Murtha</cp:lastModifiedBy>
  <cp:revision>1</cp:revision>
  <dcterms:created xsi:type="dcterms:W3CDTF">2023-04-20T16:20:00Z</dcterms:created>
  <dcterms:modified xsi:type="dcterms:W3CDTF">2023-04-20T16:21:00Z</dcterms:modified>
</cp:coreProperties>
</file>